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188EA9E" w:rsidP="32AC2B71" w:rsidRDefault="0188EA9E" w14:paraId="7554ED80" w14:textId="28FCA8CA">
      <w:pPr>
        <w:jc w:val="center"/>
        <w:rPr>
          <w:b w:val="1"/>
          <w:bCs w:val="1"/>
        </w:rPr>
      </w:pPr>
      <w:r w:rsidRPr="32AC2B71" w:rsidR="0188EA9E">
        <w:rPr>
          <w:b w:val="1"/>
          <w:bCs w:val="1"/>
        </w:rPr>
        <w:t>CE 24 mars 2021, n°431786</w:t>
      </w:r>
    </w:p>
    <w:p w:rsidR="32AC2B71" w:rsidP="32AC2B71" w:rsidRDefault="32AC2B71" w14:paraId="421F4346" w14:textId="58CAD77C">
      <w:pPr>
        <w:jc w:val="center"/>
      </w:pPr>
    </w:p>
    <w:p w:rsidR="00E61CE7" w:rsidP="008E3775" w:rsidRDefault="00DF0440" w14:paraId="5B3D8FA4" w14:textId="3D92C797">
      <w:pPr>
        <w:jc w:val="center"/>
      </w:pPr>
      <w:r w:rsidR="3FB61347">
        <w:rPr/>
        <w:t>(</w:t>
      </w:r>
      <w:r w:rsidR="07E010F8">
        <w:rPr/>
        <w:t>TITRE)</w:t>
      </w:r>
      <w:r w:rsidR="5659A70F">
        <w:rPr/>
        <w:t xml:space="preserve"> </w:t>
      </w:r>
      <w:r w:rsidRPr="32AC2B71" w:rsidR="68F09A53">
        <w:rPr>
          <w:b w:val="1"/>
          <w:bCs w:val="1"/>
        </w:rPr>
        <w:t>Les con</w:t>
      </w:r>
      <w:r w:rsidRPr="32AC2B71" w:rsidR="68F09A53">
        <w:rPr>
          <w:b w:val="1"/>
          <w:bCs w:val="1"/>
        </w:rPr>
        <w:t>trats de jeux ou paris en ligne sont soumis à la législation sur les</w:t>
      </w:r>
      <w:r w:rsidRPr="32AC2B71" w:rsidR="00C168A0">
        <w:rPr>
          <w:b w:val="1"/>
          <w:bCs w:val="1"/>
        </w:rPr>
        <w:t xml:space="preserve"> clauses abusives</w:t>
      </w:r>
    </w:p>
    <w:p w:rsidR="00DF0440" w:rsidP="008E3775" w:rsidRDefault="00DF0440" w14:paraId="10801D5E" w14:textId="1DF36476"/>
    <w:p w:rsidRPr="00DF0440" w:rsidR="00DF0440" w:rsidP="00901B2C" w:rsidRDefault="00DF0440" w14:paraId="1D61B705" w14:textId="25A93E69">
      <w:pPr>
        <w:jc w:val="both"/>
      </w:pPr>
      <w:r w:rsidR="33BF0111">
        <w:rPr/>
        <w:t>(</w:t>
      </w:r>
      <w:r w:rsidR="00DF0440">
        <w:rPr/>
        <w:t>MOTS-CLÉS</w:t>
      </w:r>
      <w:r w:rsidR="7CE41D59">
        <w:rPr/>
        <w:t>)</w:t>
      </w:r>
      <w:r w:rsidR="009D5F29">
        <w:rPr/>
        <w:t xml:space="preserve"> </w:t>
      </w:r>
      <w:r w:rsidR="00E97303">
        <w:rPr/>
        <w:t xml:space="preserve">Autorité </w:t>
      </w:r>
      <w:proofErr w:type="gramStart"/>
      <w:r w:rsidR="3A0BCDA9">
        <w:rPr/>
        <w:t>de  régulation</w:t>
      </w:r>
      <w:proofErr w:type="gramEnd"/>
      <w:r w:rsidR="3A0BCDA9">
        <w:rPr/>
        <w:t xml:space="preserve"> </w:t>
      </w:r>
      <w:r w:rsidR="00E97303">
        <w:rPr/>
        <w:t>des jeux</w:t>
      </w:r>
      <w:r w:rsidR="7AAAD05F">
        <w:rPr/>
        <w:t xml:space="preserve"> en ligne</w:t>
      </w:r>
      <w:r w:rsidR="00E97303">
        <w:rPr/>
        <w:t xml:space="preserve"> </w:t>
      </w:r>
      <w:r w:rsidR="00901B2C">
        <w:rPr/>
        <w:t>–</w:t>
      </w:r>
      <w:r w:rsidR="00E97303">
        <w:rPr/>
        <w:t xml:space="preserve"> </w:t>
      </w:r>
      <w:r w:rsidR="00901B2C">
        <w:rPr/>
        <w:t xml:space="preserve"> – paris en ligne – jeux en ligne</w:t>
      </w:r>
      <w:r w:rsidR="4C3E5CEF">
        <w:rPr/>
        <w:t xml:space="preserve"> – contrats d’adhésion - professionnel – consommateur – code de la consommation</w:t>
      </w:r>
    </w:p>
    <w:p w:rsidR="00DF0440" w:rsidP="008E3775" w:rsidRDefault="00DF0440" w14:paraId="201C5231" w14:textId="7989DB91"/>
    <w:p w:rsidR="00DF0440" w:rsidP="008E3775" w:rsidRDefault="00DF0440" w14:paraId="38B94B9A" w14:textId="7C840165">
      <w:r w:rsidRPr="00DF0440">
        <w:rPr>
          <w:b/>
          <w:bCs/>
        </w:rPr>
        <w:t>EXTRAIT</w:t>
      </w:r>
      <w:r>
        <w:t> :</w:t>
      </w:r>
    </w:p>
    <w:p w:rsidR="00DF0440" w:rsidP="008E3775" w:rsidRDefault="00DF0440" w14:paraId="6F367ACC" w14:textId="1811CEBC"/>
    <w:p w:rsidR="00DF0440" w:rsidP="008E3775" w:rsidRDefault="00DF0440" w14:paraId="7E34C80D" w14:textId="33BA6A14">
      <w:pPr>
        <w:jc w:val="both"/>
      </w:pPr>
      <w:r>
        <w:t>« </w:t>
      </w:r>
      <w:r w:rsidRPr="00DF0440">
        <w:t xml:space="preserve">L’association française du jeu en ligne n'est pas fondée à demander l’annulation de la délibération du 18 avril 2019 </w:t>
      </w:r>
      <w:r w:rsidR="005C6182">
        <w:t xml:space="preserve">[par laquelle le Collège de l’Autorité nationale des jeux a indiqué </w:t>
      </w:r>
      <w:r w:rsidRPr="005C6182" w:rsidR="005C6182">
        <w:t>que certaines dispositions du code de la consommation, relatives notamment aux clauses abusives des contrats conclus entre un professionnel et un consommateur, ou aux pratiques commerciales déloyales, étaient susceptibles de s’appliquer à ces opérateurs et que, en cas de méconnaissance de ces dispositions, le collège pourrait poursuivre l’opérateur en question devant la commission des sanctions</w:t>
      </w:r>
      <w:r w:rsidR="005C6182">
        <w:t xml:space="preserve">] </w:t>
      </w:r>
      <w:r w:rsidRPr="00DF0440">
        <w:t>qu’elle attaque</w:t>
      </w:r>
      <w:r w:rsidR="00677E39">
        <w:t xml:space="preserve"> (…).</w:t>
      </w:r>
      <w:r>
        <w:t> »</w:t>
      </w:r>
    </w:p>
    <w:p w:rsidR="00DF0440" w:rsidP="008E3775" w:rsidRDefault="00DF0440" w14:paraId="2A120160" w14:textId="0FCB9585">
      <w:pPr>
        <w:jc w:val="both"/>
      </w:pPr>
    </w:p>
    <w:p w:rsidR="00DF0440" w:rsidP="008E3775" w:rsidRDefault="00DF0440" w14:paraId="1033DA66" w14:textId="6597D722">
      <w:pPr>
        <w:jc w:val="both"/>
      </w:pPr>
      <w:r w:rsidRPr="005C6182">
        <w:rPr>
          <w:b/>
          <w:bCs/>
        </w:rPr>
        <w:t>ANALYSE</w:t>
      </w:r>
      <w:r>
        <w:t xml:space="preserve"> : </w:t>
      </w:r>
    </w:p>
    <w:p w:rsidR="00DF0440" w:rsidP="008E3775" w:rsidRDefault="00DF0440" w14:paraId="2187C62B" w14:textId="5E53C83C">
      <w:pPr>
        <w:jc w:val="both"/>
      </w:pPr>
    </w:p>
    <w:p w:rsidR="00E97303" w:rsidP="008E3775" w:rsidRDefault="00C168A0" w14:paraId="0602F802" w14:textId="1F594A52">
      <w:pPr>
        <w:jc w:val="both"/>
      </w:pPr>
      <w:r>
        <w:t>Le Conseil d’État estime que l’Autorité nationale des jeux est compétente</w:t>
      </w:r>
      <w:r w:rsidR="00E97303">
        <w:t xml:space="preserve"> lorsqu’elle indique qu’elle entend attraire devant la commission des sanctions les opérateurs agrées de jeux et paris en ligne qui auraient commis des manquements « </w:t>
      </w:r>
      <w:r w:rsidRPr="00E97303" w:rsidR="00E97303">
        <w:rPr>
          <w:i/>
          <w:iCs/>
        </w:rPr>
        <w:t>au regard d’obligations résultant du code de la consommation qui leur seraient applicables</w:t>
      </w:r>
      <w:r w:rsidR="00E97303">
        <w:t xml:space="preserve"> », ceux-ci « [méconnaissant] </w:t>
      </w:r>
      <w:r w:rsidRPr="00E97303" w:rsidR="00E97303">
        <w:rPr>
          <w:i/>
          <w:iCs/>
        </w:rPr>
        <w:t>les objectifs que l’Autorité nationale des jeux a légalement pour mission de garantir</w:t>
      </w:r>
      <w:r w:rsidR="00E97303">
        <w:t> »</w:t>
      </w:r>
      <w:r w:rsidR="00F84E20">
        <w:t xml:space="preserve"> (7)</w:t>
      </w:r>
      <w:r>
        <w:t xml:space="preserve">. </w:t>
      </w:r>
    </w:p>
    <w:p w:rsidR="00E97303" w:rsidP="008E3775" w:rsidRDefault="00E97303" w14:paraId="4EDB4D52" w14:textId="77777777">
      <w:pPr>
        <w:jc w:val="both"/>
      </w:pPr>
    </w:p>
    <w:p w:rsidR="00F84E20" w:rsidP="008E3775" w:rsidRDefault="00C168A0" w14:paraId="6704F6F6" w14:textId="7332A850">
      <w:pPr>
        <w:jc w:val="both"/>
      </w:pPr>
      <w:r>
        <w:t xml:space="preserve">En effet, </w:t>
      </w:r>
      <w:r w:rsidR="00705C95">
        <w:t>comme le souligne le Conseil d’État, « </w:t>
      </w:r>
      <w:r w:rsidRPr="00730062" w:rsidR="00705C95">
        <w:rPr>
          <w:i/>
          <w:iCs/>
        </w:rPr>
        <w:t xml:space="preserve">il appartient au collège de l’Autorité nationale </w:t>
      </w:r>
      <w:proofErr w:type="gramStart"/>
      <w:r w:rsidRPr="00730062" w:rsidR="00705C95">
        <w:rPr>
          <w:i/>
          <w:iCs/>
        </w:rPr>
        <w:t>des</w:t>
      </w:r>
      <w:proofErr w:type="gramEnd"/>
      <w:r w:rsidRPr="00730062" w:rsidR="00705C95">
        <w:rPr>
          <w:i/>
          <w:iCs/>
        </w:rPr>
        <w:t xml:space="preserve"> jeux de poursuivre</w:t>
      </w:r>
      <w:r w:rsidRPr="00705C95" w:rsidR="00705C95">
        <w:t xml:space="preserve"> </w:t>
      </w:r>
      <w:r w:rsidR="008E3775">
        <w:t>(…)</w:t>
      </w:r>
      <w:r w:rsidRPr="00705C95" w:rsidR="00705C95">
        <w:t xml:space="preserve"> </w:t>
      </w:r>
      <w:r w:rsidRPr="00730062" w:rsidR="00705C95">
        <w:rPr>
          <w:i/>
          <w:iCs/>
        </w:rPr>
        <w:t>devant la commission des sanctions de cette autorité les opérateurs de jeux ou de paris en ligne dont les comportements sont susceptibles de constituer des manquements aux dispositions législatives ou réglementaires applicables à leur activité</w:t>
      </w:r>
      <w:r w:rsidR="008E3775">
        <w:t> »</w:t>
      </w:r>
      <w:r w:rsidR="00F84E20">
        <w:t xml:space="preserve"> (2)</w:t>
      </w:r>
      <w:r w:rsidR="008E3775">
        <w:t>.</w:t>
      </w:r>
    </w:p>
    <w:p w:rsidR="008E3775" w:rsidP="008E3775" w:rsidRDefault="008E3775" w14:paraId="18A5E0FE" w14:textId="2EB52480">
      <w:pPr>
        <w:jc w:val="both"/>
      </w:pPr>
    </w:p>
    <w:p w:rsidR="00730062" w:rsidP="008E3775" w:rsidRDefault="00B179D8" w14:paraId="2465C82A" w14:textId="078D2EB9">
      <w:pPr>
        <w:jc w:val="both"/>
      </w:pPr>
      <w:r w:rsidR="00B179D8">
        <w:rPr/>
        <w:t>Ainsi, p</w:t>
      </w:r>
      <w:r w:rsidR="008E3775">
        <w:rPr/>
        <w:t xml:space="preserve">our parvenir à la conclusion selon laquelle </w:t>
      </w:r>
      <w:r w:rsidR="00F84E20">
        <w:rPr/>
        <w:t xml:space="preserve">les dispositions législatives et réglementaires du Code de la consommation sont applicables à l’activité de l’Autorité nationale des jeux, </w:t>
      </w:r>
      <w:r w:rsidR="008E3775">
        <w:rPr/>
        <w:t xml:space="preserve">le Conseil d’État </w:t>
      </w:r>
      <w:r w:rsidRPr="7A148722" w:rsidR="2B1854DE">
        <w:rPr>
          <w:i w:val="0"/>
          <w:iCs w:val="0"/>
          <w:u w:val="none"/>
        </w:rPr>
        <w:t xml:space="preserve">confirme </w:t>
      </w:r>
      <w:r w:rsidR="008E3775">
        <w:rPr/>
        <w:t xml:space="preserve">la délibération </w:t>
      </w:r>
      <w:r w:rsidR="00F84E20">
        <w:rPr/>
        <w:t>litigieuse</w:t>
      </w:r>
      <w:r w:rsidR="008E3775">
        <w:rPr/>
        <w:t xml:space="preserve"> en ce qu’elle estime que les conditions requises pour </w:t>
      </w:r>
      <w:r w:rsidR="00F84E20">
        <w:rPr/>
        <w:t>leur application</w:t>
      </w:r>
      <w:r w:rsidR="006C2167">
        <w:rPr/>
        <w:t xml:space="preserve"> </w:t>
      </w:r>
      <w:r w:rsidR="008E3775">
        <w:rPr/>
        <w:t xml:space="preserve">sont </w:t>
      </w:r>
      <w:r w:rsidR="006C2167">
        <w:rPr/>
        <w:t>satisfaites</w:t>
      </w:r>
      <w:r w:rsidR="00730062">
        <w:rPr/>
        <w:t xml:space="preserve"> : </w:t>
      </w:r>
    </w:p>
    <w:p w:rsidR="00730062" w:rsidP="008E3775" w:rsidRDefault="00730062" w14:paraId="70240BDB" w14:textId="77777777">
      <w:pPr>
        <w:jc w:val="both"/>
      </w:pPr>
    </w:p>
    <w:p w:rsidR="00730062" w:rsidP="008E3775" w:rsidRDefault="00B179D8" w14:paraId="27DF47FB" w14:textId="7A149F30">
      <w:pPr>
        <w:pStyle w:val="Paragraphedeliste"/>
        <w:numPr>
          <w:ilvl w:val="0"/>
          <w:numId w:val="1"/>
        </w:numPr>
        <w:jc w:val="both"/>
        <w:rPr/>
      </w:pPr>
      <w:r w:rsidR="00B179D8">
        <w:rPr/>
        <w:t>En</w:t>
      </w:r>
      <w:r w:rsidR="009D5F29">
        <w:rPr/>
        <w:t xml:space="preserve"> ce qui concerne</w:t>
      </w:r>
      <w:r w:rsidR="00730062">
        <w:rPr/>
        <w:t>, en premier lieu,</w:t>
      </w:r>
      <w:r w:rsidR="009D5F29">
        <w:rPr/>
        <w:t xml:space="preserve"> la qualité des parties</w:t>
      </w:r>
      <w:r w:rsidR="00730062">
        <w:rPr/>
        <w:t xml:space="preserve">, au sens de </w:t>
      </w:r>
      <w:hyperlink r:id="R1ad8a5cfca044de4">
        <w:r w:rsidRPr="7BB946AD" w:rsidR="00730062">
          <w:rPr>
            <w:rStyle w:val="Lienhypertexte"/>
          </w:rPr>
          <w:t>l’article liminaire du Code de la consommation</w:t>
        </w:r>
      </w:hyperlink>
      <w:r w:rsidR="00730062">
        <w:rPr/>
        <w:t xml:space="preserve">, </w:t>
      </w:r>
      <w:r w:rsidR="63EAFED5">
        <w:rPr/>
        <w:t xml:space="preserve">d’une part </w:t>
      </w:r>
      <w:r w:rsidR="00730062">
        <w:rPr/>
        <w:t xml:space="preserve">est </w:t>
      </w:r>
      <w:r w:rsidR="00730062">
        <w:rPr/>
        <w:t>susceptible de revêtir</w:t>
      </w:r>
      <w:r w:rsidR="79930759">
        <w:rPr/>
        <w:t xml:space="preserve"> </w:t>
      </w:r>
      <w:r w:rsidR="00730062">
        <w:rPr/>
        <w:t>la qualité de professionnel « </w:t>
      </w:r>
      <w:r w:rsidRPr="7BB946AD" w:rsidR="00730062">
        <w:rPr>
          <w:i w:val="1"/>
          <w:iCs w:val="1"/>
        </w:rPr>
        <w:t>toute personne qui, de manière habituelle, propose au public des services de jeux ou de paris en ligne comportant des enjeux en valeur monétaire et dont les modalités sont définies par un règlement constitutif d'un contrat d'adhésion au jeu soumis à l'acceptation des joueurs</w:t>
      </w:r>
      <w:r w:rsidR="00730062">
        <w:rPr/>
        <w:t xml:space="preserve"> » (8). D’autre part, peut être considéré comme un consommateur </w:t>
      </w:r>
      <w:r w:rsidR="008E3775">
        <w:rPr/>
        <w:t xml:space="preserve">« </w:t>
      </w:r>
      <w:r w:rsidRPr="7BB946AD" w:rsidR="008E3775">
        <w:rPr>
          <w:i w:val="1"/>
          <w:iCs w:val="1"/>
        </w:rPr>
        <w:t>toute personne qui accepte un contrat d'adhésion au jeu proposé par un opérateur de jeux ou de paris en ligne</w:t>
      </w:r>
      <w:r w:rsidR="008E3775">
        <w:rPr/>
        <w:t xml:space="preserve"> »</w:t>
      </w:r>
      <w:r w:rsidR="00730062">
        <w:rPr/>
        <w:t> (9) ;</w:t>
      </w:r>
    </w:p>
    <w:p w:rsidR="00730062" w:rsidP="00730062" w:rsidRDefault="00730062" w14:paraId="2138A8F1" w14:textId="77777777">
      <w:pPr>
        <w:pStyle w:val="Paragraphedeliste"/>
        <w:jc w:val="both"/>
      </w:pPr>
    </w:p>
    <w:p w:rsidRPr="00DF0440" w:rsidR="00677E39" w:rsidP="008E3775" w:rsidRDefault="00730062" w14:paraId="6A4E3050" w14:textId="68699259">
      <w:pPr>
        <w:pStyle w:val="Paragraphedeliste"/>
        <w:numPr>
          <w:ilvl w:val="0"/>
          <w:numId w:val="1"/>
        </w:numPr>
        <w:jc w:val="both"/>
      </w:pPr>
      <w:r>
        <w:lastRenderedPageBreak/>
        <w:t xml:space="preserve">En ce qui concerne, en second lieu, la notion de contrat de consommation, les </w:t>
      </w:r>
      <w:r w:rsidR="008E3775">
        <w:t xml:space="preserve">contrats de jeux ou de paris en ligne « [étant] </w:t>
      </w:r>
      <w:r w:rsidRPr="00730062" w:rsidR="008E3775">
        <w:rPr>
          <w:i/>
          <w:iCs/>
        </w:rPr>
        <w:t>susceptibles de comporter des services les faisant entrer dans la catégorie des contrats de services</w:t>
      </w:r>
      <w:r w:rsidR="008E3775">
        <w:t> », il en résulte qu’ils sont « </w:t>
      </w:r>
      <w:r w:rsidRPr="00730062" w:rsidR="008E3775">
        <w:rPr>
          <w:i/>
          <w:iCs/>
        </w:rPr>
        <w:t>soumis (…) aux dispositions du code de la consommation relatives aux pratiques commerciales déloyales et clauses abusives</w:t>
      </w:r>
      <w:r w:rsidR="008E3775">
        <w:t xml:space="preserve"> » (10). </w:t>
      </w:r>
    </w:p>
    <w:sectPr w:rsidRPr="00DF0440" w:rsidR="00677E39">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w:altName w:val="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6A3A21"/>
    <w:multiLevelType w:val="hybridMultilevel"/>
    <w:tmpl w:val="A7C81792"/>
    <w:lvl w:ilvl="0" w:tplc="7E7CC06C">
      <w:start w:val="7"/>
      <w:numFmt w:val="bullet"/>
      <w:lvlText w:val="-"/>
      <w:lvlJc w:val="left"/>
      <w:pPr>
        <w:ind w:left="720" w:hanging="360"/>
      </w:pPr>
      <w:rPr>
        <w:rFonts w:hint="default" w:ascii="Times" w:hAnsi="Times" w:eastAsiaTheme="minorHAnsi" w:cstheme="minorBid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2"/>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440"/>
    <w:rsid w:val="00047731"/>
    <w:rsid w:val="00382F25"/>
    <w:rsid w:val="004230DC"/>
    <w:rsid w:val="005C6182"/>
    <w:rsid w:val="00677E39"/>
    <w:rsid w:val="006C1FA7"/>
    <w:rsid w:val="006C2167"/>
    <w:rsid w:val="00705C95"/>
    <w:rsid w:val="00730062"/>
    <w:rsid w:val="008E3775"/>
    <w:rsid w:val="00901B2C"/>
    <w:rsid w:val="00991CE5"/>
    <w:rsid w:val="009D5F29"/>
    <w:rsid w:val="00B179D8"/>
    <w:rsid w:val="00C168A0"/>
    <w:rsid w:val="00DF0440"/>
    <w:rsid w:val="00E97303"/>
    <w:rsid w:val="00F84E20"/>
    <w:rsid w:val="0188EA9E"/>
    <w:rsid w:val="03D4B9CD"/>
    <w:rsid w:val="0475D6CF"/>
    <w:rsid w:val="07E010F8"/>
    <w:rsid w:val="18B6A72B"/>
    <w:rsid w:val="21AA9749"/>
    <w:rsid w:val="2B1854DE"/>
    <w:rsid w:val="32AC2B71"/>
    <w:rsid w:val="33BF0111"/>
    <w:rsid w:val="3A0BCDA9"/>
    <w:rsid w:val="3F47D3AD"/>
    <w:rsid w:val="3FB61347"/>
    <w:rsid w:val="44CE7B59"/>
    <w:rsid w:val="4C3E5CEF"/>
    <w:rsid w:val="4D898832"/>
    <w:rsid w:val="54405897"/>
    <w:rsid w:val="5659A70F"/>
    <w:rsid w:val="63EAFED5"/>
    <w:rsid w:val="68F09A53"/>
    <w:rsid w:val="79930759"/>
    <w:rsid w:val="7A148722"/>
    <w:rsid w:val="7AAAD05F"/>
    <w:rsid w:val="7BB946AD"/>
    <w:rsid w:val="7CE41D59"/>
    <w:rsid w:val="7E0D85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CBA7B52"/>
  <w15:chartTrackingRefBased/>
  <w15:docId w15:val="{1EFCED88-32E6-714E-8E49-47CB4F507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F0440"/>
    <w:pPr>
      <w:spacing w:line="276" w:lineRule="auto"/>
    </w:pPr>
    <w:rPr>
      <w:rFonts w:ascii="Times" w:hAnsi="Time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Lienhypertexte">
    <w:name w:val="Hyperlink"/>
    <w:basedOn w:val="Policepardfaut"/>
    <w:uiPriority w:val="99"/>
    <w:unhideWhenUsed/>
    <w:rsid w:val="00677E39"/>
    <w:rPr>
      <w:color w:val="0563C1" w:themeColor="hyperlink"/>
      <w:u w:val="single"/>
    </w:rPr>
  </w:style>
  <w:style w:type="character" w:styleId="Mentionnonrsolue">
    <w:name w:val="Unresolved Mention"/>
    <w:basedOn w:val="Policepardfaut"/>
    <w:uiPriority w:val="99"/>
    <w:semiHidden/>
    <w:unhideWhenUsed/>
    <w:rsid w:val="00677E39"/>
    <w:rPr>
      <w:color w:val="605E5C"/>
      <w:shd w:val="clear" w:color="auto" w:fill="E1DFDD"/>
    </w:rPr>
  </w:style>
  <w:style w:type="paragraph" w:styleId="NormalWeb">
    <w:name w:val="Normal (Web)"/>
    <w:basedOn w:val="Normal"/>
    <w:uiPriority w:val="99"/>
    <w:unhideWhenUsed/>
    <w:rsid w:val="00677E39"/>
    <w:pPr>
      <w:spacing w:before="100" w:beforeAutospacing="1" w:after="100" w:afterAutospacing="1" w:line="240" w:lineRule="auto"/>
    </w:pPr>
    <w:rPr>
      <w:rFonts w:ascii="Times New Roman" w:hAnsi="Times New Roman" w:eastAsia="Times New Roman" w:cs="Times New Roman"/>
      <w:lang w:eastAsia="fr-FR"/>
    </w:rPr>
  </w:style>
  <w:style w:type="paragraph" w:styleId="Paragraphedeliste">
    <w:name w:val="List Paragraph"/>
    <w:basedOn w:val="Normal"/>
    <w:uiPriority w:val="34"/>
    <w:qFormat/>
    <w:rsid w:val="00730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285928">
      <w:bodyDiv w:val="1"/>
      <w:marLeft w:val="0"/>
      <w:marRight w:val="0"/>
      <w:marTop w:val="0"/>
      <w:marBottom w:val="0"/>
      <w:divBdr>
        <w:top w:val="none" w:sz="0" w:space="0" w:color="auto"/>
        <w:left w:val="none" w:sz="0" w:space="0" w:color="auto"/>
        <w:bottom w:val="none" w:sz="0" w:space="0" w:color="auto"/>
        <w:right w:val="none" w:sz="0" w:space="0" w:color="auto"/>
      </w:divBdr>
      <w:divsChild>
        <w:div w:id="607126508">
          <w:marLeft w:val="0"/>
          <w:marRight w:val="0"/>
          <w:marTop w:val="0"/>
          <w:marBottom w:val="0"/>
          <w:divBdr>
            <w:top w:val="none" w:sz="0" w:space="0" w:color="auto"/>
            <w:left w:val="none" w:sz="0" w:space="0" w:color="auto"/>
            <w:bottom w:val="none" w:sz="0" w:space="0" w:color="auto"/>
            <w:right w:val="none" w:sz="0" w:space="0" w:color="auto"/>
          </w:divBdr>
          <w:divsChild>
            <w:div w:id="777726006">
              <w:marLeft w:val="0"/>
              <w:marRight w:val="0"/>
              <w:marTop w:val="0"/>
              <w:marBottom w:val="0"/>
              <w:divBdr>
                <w:top w:val="none" w:sz="0" w:space="0" w:color="auto"/>
                <w:left w:val="none" w:sz="0" w:space="0" w:color="auto"/>
                <w:bottom w:val="none" w:sz="0" w:space="0" w:color="auto"/>
                <w:right w:val="none" w:sz="0" w:space="0" w:color="auto"/>
              </w:divBdr>
              <w:divsChild>
                <w:div w:id="114269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231532">
      <w:bodyDiv w:val="1"/>
      <w:marLeft w:val="0"/>
      <w:marRight w:val="0"/>
      <w:marTop w:val="0"/>
      <w:marBottom w:val="0"/>
      <w:divBdr>
        <w:top w:val="none" w:sz="0" w:space="0" w:color="auto"/>
        <w:left w:val="none" w:sz="0" w:space="0" w:color="auto"/>
        <w:bottom w:val="none" w:sz="0" w:space="0" w:color="auto"/>
        <w:right w:val="none" w:sz="0" w:space="0" w:color="auto"/>
      </w:divBdr>
      <w:divsChild>
        <w:div w:id="59014667">
          <w:marLeft w:val="0"/>
          <w:marRight w:val="0"/>
          <w:marTop w:val="0"/>
          <w:marBottom w:val="0"/>
          <w:divBdr>
            <w:top w:val="none" w:sz="0" w:space="0" w:color="auto"/>
            <w:left w:val="none" w:sz="0" w:space="0" w:color="auto"/>
            <w:bottom w:val="none" w:sz="0" w:space="0" w:color="auto"/>
            <w:right w:val="none" w:sz="0" w:space="0" w:color="auto"/>
          </w:divBdr>
          <w:divsChild>
            <w:div w:id="1854226336">
              <w:marLeft w:val="0"/>
              <w:marRight w:val="0"/>
              <w:marTop w:val="0"/>
              <w:marBottom w:val="0"/>
              <w:divBdr>
                <w:top w:val="none" w:sz="0" w:space="0" w:color="auto"/>
                <w:left w:val="none" w:sz="0" w:space="0" w:color="auto"/>
                <w:bottom w:val="none" w:sz="0" w:space="0" w:color="auto"/>
                <w:right w:val="none" w:sz="0" w:space="0" w:color="auto"/>
              </w:divBdr>
              <w:divsChild>
                <w:div w:id="62843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248538">
      <w:bodyDiv w:val="1"/>
      <w:marLeft w:val="0"/>
      <w:marRight w:val="0"/>
      <w:marTop w:val="0"/>
      <w:marBottom w:val="0"/>
      <w:divBdr>
        <w:top w:val="none" w:sz="0" w:space="0" w:color="auto"/>
        <w:left w:val="none" w:sz="0" w:space="0" w:color="auto"/>
        <w:bottom w:val="none" w:sz="0" w:space="0" w:color="auto"/>
        <w:right w:val="none" w:sz="0" w:space="0" w:color="auto"/>
      </w:divBdr>
      <w:divsChild>
        <w:div w:id="281813343">
          <w:marLeft w:val="0"/>
          <w:marRight w:val="0"/>
          <w:marTop w:val="0"/>
          <w:marBottom w:val="0"/>
          <w:divBdr>
            <w:top w:val="none" w:sz="0" w:space="0" w:color="auto"/>
            <w:left w:val="none" w:sz="0" w:space="0" w:color="auto"/>
            <w:bottom w:val="none" w:sz="0" w:space="0" w:color="auto"/>
            <w:right w:val="none" w:sz="0" w:space="0" w:color="auto"/>
          </w:divBdr>
          <w:divsChild>
            <w:div w:id="2106459450">
              <w:marLeft w:val="0"/>
              <w:marRight w:val="0"/>
              <w:marTop w:val="0"/>
              <w:marBottom w:val="0"/>
              <w:divBdr>
                <w:top w:val="none" w:sz="0" w:space="0" w:color="auto"/>
                <w:left w:val="none" w:sz="0" w:space="0" w:color="auto"/>
                <w:bottom w:val="none" w:sz="0" w:space="0" w:color="auto"/>
                <w:right w:val="none" w:sz="0" w:space="0" w:color="auto"/>
              </w:divBdr>
              <w:divsChild>
                <w:div w:id="66663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287865">
      <w:bodyDiv w:val="1"/>
      <w:marLeft w:val="0"/>
      <w:marRight w:val="0"/>
      <w:marTop w:val="0"/>
      <w:marBottom w:val="0"/>
      <w:divBdr>
        <w:top w:val="none" w:sz="0" w:space="0" w:color="auto"/>
        <w:left w:val="none" w:sz="0" w:space="0" w:color="auto"/>
        <w:bottom w:val="none" w:sz="0" w:space="0" w:color="auto"/>
        <w:right w:val="none" w:sz="0" w:space="0" w:color="auto"/>
      </w:divBdr>
      <w:divsChild>
        <w:div w:id="2101366214">
          <w:marLeft w:val="0"/>
          <w:marRight w:val="0"/>
          <w:marTop w:val="0"/>
          <w:marBottom w:val="0"/>
          <w:divBdr>
            <w:top w:val="none" w:sz="0" w:space="0" w:color="auto"/>
            <w:left w:val="none" w:sz="0" w:space="0" w:color="auto"/>
            <w:bottom w:val="none" w:sz="0" w:space="0" w:color="auto"/>
            <w:right w:val="none" w:sz="0" w:space="0" w:color="auto"/>
          </w:divBdr>
          <w:divsChild>
            <w:div w:id="991133037">
              <w:marLeft w:val="0"/>
              <w:marRight w:val="0"/>
              <w:marTop w:val="0"/>
              <w:marBottom w:val="0"/>
              <w:divBdr>
                <w:top w:val="none" w:sz="0" w:space="0" w:color="auto"/>
                <w:left w:val="none" w:sz="0" w:space="0" w:color="auto"/>
                <w:bottom w:val="none" w:sz="0" w:space="0" w:color="auto"/>
                <w:right w:val="none" w:sz="0" w:space="0" w:color="auto"/>
              </w:divBdr>
              <w:divsChild>
                <w:div w:id="65414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790965">
      <w:bodyDiv w:val="1"/>
      <w:marLeft w:val="0"/>
      <w:marRight w:val="0"/>
      <w:marTop w:val="0"/>
      <w:marBottom w:val="0"/>
      <w:divBdr>
        <w:top w:val="none" w:sz="0" w:space="0" w:color="auto"/>
        <w:left w:val="none" w:sz="0" w:space="0" w:color="auto"/>
        <w:bottom w:val="none" w:sz="0" w:space="0" w:color="auto"/>
        <w:right w:val="none" w:sz="0" w:space="0" w:color="auto"/>
      </w:divBdr>
      <w:divsChild>
        <w:div w:id="2143842157">
          <w:marLeft w:val="0"/>
          <w:marRight w:val="0"/>
          <w:marTop w:val="0"/>
          <w:marBottom w:val="0"/>
          <w:divBdr>
            <w:top w:val="none" w:sz="0" w:space="0" w:color="auto"/>
            <w:left w:val="none" w:sz="0" w:space="0" w:color="auto"/>
            <w:bottom w:val="none" w:sz="0" w:space="0" w:color="auto"/>
            <w:right w:val="none" w:sz="0" w:space="0" w:color="auto"/>
          </w:divBdr>
          <w:divsChild>
            <w:div w:id="1963345127">
              <w:marLeft w:val="0"/>
              <w:marRight w:val="0"/>
              <w:marTop w:val="0"/>
              <w:marBottom w:val="0"/>
              <w:divBdr>
                <w:top w:val="none" w:sz="0" w:space="0" w:color="auto"/>
                <w:left w:val="none" w:sz="0" w:space="0" w:color="auto"/>
                <w:bottom w:val="none" w:sz="0" w:space="0" w:color="auto"/>
                <w:right w:val="none" w:sz="0" w:space="0" w:color="auto"/>
              </w:divBdr>
              <w:divsChild>
                <w:div w:id="179768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600534">
      <w:bodyDiv w:val="1"/>
      <w:marLeft w:val="0"/>
      <w:marRight w:val="0"/>
      <w:marTop w:val="0"/>
      <w:marBottom w:val="0"/>
      <w:divBdr>
        <w:top w:val="none" w:sz="0" w:space="0" w:color="auto"/>
        <w:left w:val="none" w:sz="0" w:space="0" w:color="auto"/>
        <w:bottom w:val="none" w:sz="0" w:space="0" w:color="auto"/>
        <w:right w:val="none" w:sz="0" w:space="0" w:color="auto"/>
      </w:divBdr>
      <w:divsChild>
        <w:div w:id="130832976">
          <w:marLeft w:val="0"/>
          <w:marRight w:val="0"/>
          <w:marTop w:val="0"/>
          <w:marBottom w:val="0"/>
          <w:divBdr>
            <w:top w:val="none" w:sz="0" w:space="0" w:color="auto"/>
            <w:left w:val="none" w:sz="0" w:space="0" w:color="auto"/>
            <w:bottom w:val="none" w:sz="0" w:space="0" w:color="auto"/>
            <w:right w:val="none" w:sz="0" w:space="0" w:color="auto"/>
          </w:divBdr>
          <w:divsChild>
            <w:div w:id="473640773">
              <w:marLeft w:val="0"/>
              <w:marRight w:val="0"/>
              <w:marTop w:val="0"/>
              <w:marBottom w:val="0"/>
              <w:divBdr>
                <w:top w:val="none" w:sz="0" w:space="0" w:color="auto"/>
                <w:left w:val="none" w:sz="0" w:space="0" w:color="auto"/>
                <w:bottom w:val="none" w:sz="0" w:space="0" w:color="auto"/>
                <w:right w:val="none" w:sz="0" w:space="0" w:color="auto"/>
              </w:divBdr>
              <w:divsChild>
                <w:div w:id="147194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669373">
      <w:bodyDiv w:val="1"/>
      <w:marLeft w:val="0"/>
      <w:marRight w:val="0"/>
      <w:marTop w:val="0"/>
      <w:marBottom w:val="0"/>
      <w:divBdr>
        <w:top w:val="none" w:sz="0" w:space="0" w:color="auto"/>
        <w:left w:val="none" w:sz="0" w:space="0" w:color="auto"/>
        <w:bottom w:val="none" w:sz="0" w:space="0" w:color="auto"/>
        <w:right w:val="none" w:sz="0" w:space="0" w:color="auto"/>
      </w:divBdr>
      <w:divsChild>
        <w:div w:id="1003976108">
          <w:marLeft w:val="0"/>
          <w:marRight w:val="0"/>
          <w:marTop w:val="0"/>
          <w:marBottom w:val="0"/>
          <w:divBdr>
            <w:top w:val="none" w:sz="0" w:space="0" w:color="auto"/>
            <w:left w:val="none" w:sz="0" w:space="0" w:color="auto"/>
            <w:bottom w:val="none" w:sz="0" w:space="0" w:color="auto"/>
            <w:right w:val="none" w:sz="0" w:space="0" w:color="auto"/>
          </w:divBdr>
          <w:divsChild>
            <w:div w:id="929699236">
              <w:marLeft w:val="0"/>
              <w:marRight w:val="0"/>
              <w:marTop w:val="0"/>
              <w:marBottom w:val="0"/>
              <w:divBdr>
                <w:top w:val="none" w:sz="0" w:space="0" w:color="auto"/>
                <w:left w:val="none" w:sz="0" w:space="0" w:color="auto"/>
                <w:bottom w:val="none" w:sz="0" w:space="0" w:color="auto"/>
                <w:right w:val="none" w:sz="0" w:space="0" w:color="auto"/>
              </w:divBdr>
              <w:divsChild>
                <w:div w:id="7403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043637">
      <w:bodyDiv w:val="1"/>
      <w:marLeft w:val="0"/>
      <w:marRight w:val="0"/>
      <w:marTop w:val="0"/>
      <w:marBottom w:val="0"/>
      <w:divBdr>
        <w:top w:val="none" w:sz="0" w:space="0" w:color="auto"/>
        <w:left w:val="none" w:sz="0" w:space="0" w:color="auto"/>
        <w:bottom w:val="none" w:sz="0" w:space="0" w:color="auto"/>
        <w:right w:val="none" w:sz="0" w:space="0" w:color="auto"/>
      </w:divBdr>
      <w:divsChild>
        <w:div w:id="2134978376">
          <w:marLeft w:val="0"/>
          <w:marRight w:val="0"/>
          <w:marTop w:val="0"/>
          <w:marBottom w:val="0"/>
          <w:divBdr>
            <w:top w:val="none" w:sz="0" w:space="0" w:color="auto"/>
            <w:left w:val="none" w:sz="0" w:space="0" w:color="auto"/>
            <w:bottom w:val="none" w:sz="0" w:space="0" w:color="auto"/>
            <w:right w:val="none" w:sz="0" w:space="0" w:color="auto"/>
          </w:divBdr>
          <w:divsChild>
            <w:div w:id="985936142">
              <w:marLeft w:val="0"/>
              <w:marRight w:val="0"/>
              <w:marTop w:val="0"/>
              <w:marBottom w:val="0"/>
              <w:divBdr>
                <w:top w:val="none" w:sz="0" w:space="0" w:color="auto"/>
                <w:left w:val="none" w:sz="0" w:space="0" w:color="auto"/>
                <w:bottom w:val="none" w:sz="0" w:space="0" w:color="auto"/>
                <w:right w:val="none" w:sz="0" w:space="0" w:color="auto"/>
              </w:divBdr>
              <w:divsChild>
                <w:div w:id="644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theme" Target="theme/theme1.xml" Id="rId10" /><Relationship Type="http://schemas.openxmlformats.org/officeDocument/2006/relationships/numbering" Target="numbering.xml" Id="rId4" /><Relationship Type="http://schemas.openxmlformats.org/officeDocument/2006/relationships/fontTable" Target="fontTable.xml" Id="rId9" /><Relationship Type="http://schemas.openxmlformats.org/officeDocument/2006/relationships/hyperlink" Target="https://www.legifrance.gouv.fr/codes/article_lc/LEGIARTI000034072545/" TargetMode="External" Id="R1ad8a5cfca044de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0F1CD666248F44BC391952FF06B82B" ma:contentTypeVersion="2" ma:contentTypeDescription="Crée un document." ma:contentTypeScope="" ma:versionID="2e6050ba71ee92001d250620500ebe1b">
  <xsd:schema xmlns:xsd="http://www.w3.org/2001/XMLSchema" xmlns:xs="http://www.w3.org/2001/XMLSchema" xmlns:p="http://schemas.microsoft.com/office/2006/metadata/properties" xmlns:ns2="d6ff2453-5e2c-41dc-bb1a-d0b29808e728" targetNamespace="http://schemas.microsoft.com/office/2006/metadata/properties" ma:root="true" ma:fieldsID="6353715b43ea275e33d91a1ba55edec9" ns2:_="">
    <xsd:import namespace="d6ff2453-5e2c-41dc-bb1a-d0b29808e72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ff2453-5e2c-41dc-bb1a-d0b29808e7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CA5FF7-D181-4AD8-9781-8C34916CF17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9A5A3B-E6A4-4257-AF8A-26689E51F908}">
  <ds:schemaRefs>
    <ds:schemaRef ds:uri="http://schemas.microsoft.com/sharepoint/v3/contenttype/forms"/>
  </ds:schemaRefs>
</ds:datastoreItem>
</file>

<file path=customXml/itemProps3.xml><?xml version="1.0" encoding="utf-8"?>
<ds:datastoreItem xmlns:ds="http://schemas.openxmlformats.org/officeDocument/2006/customXml" ds:itemID="{6CC65B4D-D1EB-4BAC-9EC6-936CE948C7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ff2453-5e2c-41dc-bb1a-d0b29808e7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Delisle</dc:creator>
  <cp:keywords/>
  <dc:description/>
  <cp:lastModifiedBy>Nathalie Sauphanor-Brouillaud</cp:lastModifiedBy>
  <cp:revision>10</cp:revision>
  <dcterms:created xsi:type="dcterms:W3CDTF">2021-04-24T15:09:00Z</dcterms:created>
  <dcterms:modified xsi:type="dcterms:W3CDTF">2021-04-30T13:44:07Z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0x010100540F1CD666248F44BC391952FF06B82B</vt:lpwstr>
  </property>
</Properties>
</file>